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2.4万元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3.45万元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0.85万元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2.4万元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3.45万元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0.85万元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303.53万元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30万元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127.68万元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17.64万元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22.8万元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17.97万元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潘艺琳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2023.9.21</w:t>
      </w:r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18274502626</w:t>
      </w:r>
      <w:r>
        <w:rPr>
          <w:rFonts w:ascii="Times New Roman" w:hAnsi="Times New Roman" w:eastAsia="仿宋_GB2312"/>
          <w:sz w:val="22"/>
        </w:rPr>
        <w:t xml:space="preserve"> 单位负责人签字：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ZkYmU3YjU1MTZjZjIwYmQ4NTIzMGE3YTJhZTZiZDIifQ=="/>
  </w:docVars>
  <w:rsids>
    <w:rsidRoot w:val="03373877"/>
    <w:rsid w:val="00372159"/>
    <w:rsid w:val="00CC6FFC"/>
    <w:rsid w:val="03373877"/>
    <w:rsid w:val="0AF86254"/>
    <w:rsid w:val="300D0066"/>
    <w:rsid w:val="33C61DD7"/>
    <w:rsid w:val="4E2B0C74"/>
    <w:rsid w:val="6F8B3FC6"/>
    <w:rsid w:val="7CF21422"/>
    <w:rsid w:val="7FEC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51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小渔</cp:lastModifiedBy>
  <dcterms:modified xsi:type="dcterms:W3CDTF">2023-09-21T03:24:07Z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